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2CA671" w14:textId="77777777" w:rsidR="00C21E12" w:rsidRPr="00C21E12" w:rsidRDefault="00C21E12" w:rsidP="00C21E12">
      <w:pPr>
        <w:bidi/>
        <w:spacing w:after="0" w:line="360" w:lineRule="auto"/>
        <w:rPr>
          <w:rFonts w:ascii="David" w:eastAsia="Calibri" w:hAnsi="David" w:cs="David"/>
          <w:b/>
          <w:bCs/>
          <w:sz w:val="40"/>
          <w:szCs w:val="40"/>
          <w:rtl/>
        </w:rPr>
      </w:pPr>
      <w:r w:rsidRPr="00C21E12">
        <w:rPr>
          <w:rFonts w:ascii="David" w:eastAsia="Calibri" w:hAnsi="David" w:cs="David"/>
          <w:b/>
          <w:bCs/>
          <w:sz w:val="40"/>
          <w:szCs w:val="40"/>
          <w:rtl/>
        </w:rPr>
        <w:t>חג פסח</w:t>
      </w:r>
      <w:r w:rsidRPr="00C21E12">
        <w:rPr>
          <w:rFonts w:ascii="David" w:eastAsia="Calibri" w:hAnsi="David" w:cs="David" w:hint="cs"/>
          <w:b/>
          <w:bCs/>
          <w:sz w:val="40"/>
          <w:szCs w:val="40"/>
          <w:rtl/>
        </w:rPr>
        <w:t xml:space="preserve"> </w:t>
      </w:r>
    </w:p>
    <w:p w14:paraId="4DFA3E00" w14:textId="77777777" w:rsidR="00C21E12" w:rsidRPr="00C21E12" w:rsidRDefault="00C21E12" w:rsidP="00C21E12">
      <w:pPr>
        <w:bidi/>
        <w:spacing w:after="0" w:line="360" w:lineRule="auto"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/>
          <w:sz w:val="24"/>
          <w:szCs w:val="24"/>
          <w:rtl/>
        </w:rPr>
        <w:t>ארבעה שמות יש ל</w:t>
      </w:r>
      <w:r w:rsidRPr="00C21E12">
        <w:rPr>
          <w:rFonts w:ascii="David" w:eastAsia="Calibri" w:hAnsi="David" w:cs="David"/>
          <w:b/>
          <w:bCs/>
          <w:sz w:val="24"/>
          <w:szCs w:val="24"/>
          <w:rtl/>
        </w:rPr>
        <w:t>חג פסח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</w:t>
      </w:r>
      <w:r w:rsidRPr="00C21E12">
        <w:rPr>
          <w:rFonts w:ascii="David" w:eastAsia="Calibri" w:hAnsi="David" w:cs="David"/>
          <w:sz w:val="24"/>
          <w:szCs w:val="24"/>
          <w:rtl/>
        </w:rPr>
        <w:t>כאשר כל שם מייצג מאפיין מיוחד של החג:</w:t>
      </w:r>
    </w:p>
    <w:p w14:paraId="142976FF" w14:textId="77777777" w:rsidR="00C21E12" w:rsidRPr="00C21E12" w:rsidRDefault="00C21E12" w:rsidP="00C21E12">
      <w:pPr>
        <w:numPr>
          <w:ilvl w:val="0"/>
          <w:numId w:val="1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/>
          <w:b/>
          <w:bCs/>
          <w:sz w:val="24"/>
          <w:szCs w:val="24"/>
          <w:rtl/>
        </w:rPr>
        <w:t>חג האביב</w:t>
      </w:r>
      <w:r w:rsidRPr="00C21E12">
        <w:rPr>
          <w:rFonts w:ascii="David" w:eastAsia="Calibri" w:hAnsi="David" w:cs="David"/>
          <w:sz w:val="24"/>
          <w:szCs w:val="24"/>
        </w:rPr>
        <w:t>:</w:t>
      </w:r>
      <w:r w:rsidRPr="00C21E12">
        <w:rPr>
          <w:rFonts w:ascii="David" w:eastAsia="Calibri" w:hAnsi="David" w:cs="David"/>
          <w:sz w:val="24"/>
          <w:szCs w:val="24"/>
          <w:rtl/>
        </w:rPr>
        <w:t xml:space="preserve"> על כי חל בתקופת האביב.</w:t>
      </w:r>
    </w:p>
    <w:p w14:paraId="15C6C4D2" w14:textId="499108BB" w:rsidR="00C21E12" w:rsidRPr="00C21E12" w:rsidRDefault="00C21E12" w:rsidP="00C21E12">
      <w:pPr>
        <w:numPr>
          <w:ilvl w:val="0"/>
          <w:numId w:val="1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/>
          <w:b/>
          <w:bCs/>
          <w:sz w:val="24"/>
          <w:szCs w:val="24"/>
          <w:rtl/>
        </w:rPr>
        <w:t>חג החירות</w:t>
      </w:r>
      <w:r w:rsidRPr="00C21E12">
        <w:rPr>
          <w:rFonts w:ascii="David" w:eastAsia="Calibri" w:hAnsi="David" w:cs="David" w:hint="cs"/>
          <w:sz w:val="24"/>
          <w:szCs w:val="24"/>
          <w:rtl/>
        </w:rPr>
        <w:t>:</w:t>
      </w: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 xml:space="preserve"> </w:t>
      </w:r>
      <w:r w:rsidRPr="00C21E12">
        <w:rPr>
          <w:rFonts w:ascii="David" w:eastAsia="Calibri" w:hAnsi="David" w:cs="David"/>
          <w:color w:val="000000"/>
          <w:sz w:val="24"/>
          <w:szCs w:val="24"/>
          <w:shd w:val="clear" w:color="auto" w:fill="FFFFFF"/>
          <w:rtl/>
        </w:rPr>
        <w:t xml:space="preserve">על שבני ישראל יצאו מעבדות </w:t>
      </w:r>
      <w:r w:rsidRPr="00C21E12">
        <w:rPr>
          <w:rFonts w:ascii="David" w:eastAsia="Calibri" w:hAnsi="David" w:cs="David" w:hint="cs"/>
          <w:color w:val="000000"/>
          <w:sz w:val="24"/>
          <w:szCs w:val="24"/>
          <w:shd w:val="clear" w:color="auto" w:fill="FFFFFF"/>
          <w:rtl/>
        </w:rPr>
        <w:t xml:space="preserve">(בניית </w:t>
      </w:r>
      <w:r w:rsidR="00663493">
        <w:rPr>
          <w:rFonts w:ascii="David" w:eastAsia="Calibri" w:hAnsi="David" w:cs="David" w:hint="cs"/>
          <w:color w:val="000000"/>
          <w:sz w:val="24"/>
          <w:szCs w:val="24"/>
          <w:shd w:val="clear" w:color="auto" w:fill="FFFFFF"/>
          <w:rtl/>
        </w:rPr>
        <w:t>ערי מסכנות</w:t>
      </w:r>
      <w:r w:rsidRPr="00C21E12">
        <w:rPr>
          <w:rFonts w:ascii="David" w:eastAsia="Calibri" w:hAnsi="David" w:cs="David" w:hint="cs"/>
          <w:color w:val="000000"/>
          <w:sz w:val="24"/>
          <w:szCs w:val="24"/>
          <w:shd w:val="clear" w:color="auto" w:fill="FFFFFF"/>
          <w:rtl/>
        </w:rPr>
        <w:t xml:space="preserve"> במצרים) לחרות .</w:t>
      </w:r>
    </w:p>
    <w:p w14:paraId="057957E7" w14:textId="77777777" w:rsidR="00C21E12" w:rsidRPr="00C21E12" w:rsidRDefault="00C21E12" w:rsidP="00C21E12">
      <w:pPr>
        <w:numPr>
          <w:ilvl w:val="0"/>
          <w:numId w:val="1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/>
          <w:b/>
          <w:bCs/>
          <w:sz w:val="24"/>
          <w:szCs w:val="24"/>
          <w:rtl/>
        </w:rPr>
        <w:t>חג המצות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: </w:t>
      </w:r>
      <w:r w:rsidRPr="00C21E12">
        <w:rPr>
          <w:rFonts w:ascii="David" w:eastAsia="Calibri" w:hAnsi="David" w:cs="David"/>
          <w:color w:val="000000"/>
          <w:sz w:val="24"/>
          <w:szCs w:val="24"/>
          <w:shd w:val="clear" w:color="auto" w:fill="FFFFFF"/>
          <w:rtl/>
        </w:rPr>
        <w:t xml:space="preserve">על המצות שאכלו בני ישראל </w:t>
      </w:r>
      <w:r w:rsidRPr="00C21E12">
        <w:rPr>
          <w:rFonts w:ascii="David" w:eastAsia="Calibri" w:hAnsi="David" w:cs="David" w:hint="cs"/>
          <w:color w:val="000000"/>
          <w:sz w:val="24"/>
          <w:szCs w:val="24"/>
          <w:shd w:val="clear" w:color="auto" w:fill="FFFFFF"/>
          <w:rtl/>
        </w:rPr>
        <w:t xml:space="preserve">במדבר </w:t>
      </w:r>
      <w:r w:rsidRPr="00C21E12">
        <w:rPr>
          <w:rFonts w:ascii="David" w:eastAsia="Calibri" w:hAnsi="David" w:cs="David"/>
          <w:color w:val="000000"/>
          <w:sz w:val="24"/>
          <w:szCs w:val="24"/>
          <w:shd w:val="clear" w:color="auto" w:fill="FFFFFF"/>
          <w:rtl/>
        </w:rPr>
        <w:t>בצאתם ממצרים</w:t>
      </w:r>
      <w:r w:rsidRPr="00C21E12">
        <w:rPr>
          <w:rFonts w:ascii="David" w:eastAsia="Calibri" w:hAnsi="David" w:cs="David" w:hint="cs"/>
          <w:color w:val="000000"/>
          <w:sz w:val="24"/>
          <w:szCs w:val="24"/>
          <w:shd w:val="clear" w:color="auto" w:fill="FFFFFF"/>
          <w:rtl/>
        </w:rPr>
        <w:t>.</w:t>
      </w:r>
    </w:p>
    <w:p w14:paraId="1B2DE175" w14:textId="77777777" w:rsidR="00C21E12" w:rsidRPr="00C21E12" w:rsidRDefault="00C21E12" w:rsidP="00C21E12">
      <w:pPr>
        <w:numPr>
          <w:ilvl w:val="0"/>
          <w:numId w:val="1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/>
          <w:b/>
          <w:bCs/>
          <w:sz w:val="24"/>
          <w:szCs w:val="24"/>
          <w:rtl/>
        </w:rPr>
        <w:t>חג הפסח</w:t>
      </w:r>
      <w:r w:rsidRPr="00C21E12">
        <w:rPr>
          <w:rFonts w:ascii="David" w:eastAsia="Calibri" w:hAnsi="David" w:cs="David" w:hint="cs"/>
          <w:sz w:val="24"/>
          <w:szCs w:val="24"/>
          <w:rtl/>
        </w:rPr>
        <w:t>:</w:t>
      </w:r>
      <w:r w:rsidRPr="00C21E12">
        <w:rPr>
          <w:rFonts w:ascii="David" w:eastAsia="Calibri" w:hAnsi="David" w:cs="David"/>
          <w:sz w:val="24"/>
          <w:szCs w:val="24"/>
          <w:rtl/>
        </w:rPr>
        <w:t xml:space="preserve"> על שהקדוש ברוך הוא פסח בתי ישראל במכת בכורות</w:t>
      </w:r>
      <w:r w:rsidRPr="00C21E12">
        <w:rPr>
          <w:rFonts w:ascii="David" w:eastAsia="Calibri" w:hAnsi="David" w:cs="David"/>
          <w:sz w:val="24"/>
          <w:szCs w:val="24"/>
        </w:rPr>
        <w:t>.</w:t>
      </w:r>
    </w:p>
    <w:p w14:paraId="4A2F033F" w14:textId="77777777" w:rsidR="00C21E12" w:rsidRPr="00C21E12" w:rsidRDefault="00C21E12" w:rsidP="00C21E12">
      <w:pPr>
        <w:bidi/>
        <w:spacing w:after="0" w:line="360" w:lineRule="auto"/>
        <w:rPr>
          <w:rFonts w:ascii="David" w:eastAsia="Calibri" w:hAnsi="David" w:cs="David"/>
          <w:sz w:val="24"/>
          <w:szCs w:val="24"/>
          <w:rtl/>
        </w:rPr>
      </w:pPr>
    </w:p>
    <w:p w14:paraId="089C5524" w14:textId="77777777" w:rsidR="00C21E12" w:rsidRPr="00C21E12" w:rsidRDefault="00C21E12" w:rsidP="00C21E12">
      <w:pPr>
        <w:bidi/>
        <w:spacing w:after="0" w:line="360" w:lineRule="auto"/>
        <w:rPr>
          <w:rFonts w:ascii="David" w:eastAsia="Calibri" w:hAnsi="David" w:cs="David"/>
          <w:b/>
          <w:bCs/>
          <w:sz w:val="24"/>
          <w:szCs w:val="24"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הקשרים ללימודי מדע וטכנולוגיה</w:t>
      </w:r>
    </w:p>
    <w:p w14:paraId="707B03F7" w14:textId="77777777" w:rsidR="00C21E12" w:rsidRPr="00C21E12" w:rsidRDefault="00C21E12" w:rsidP="00C21E12">
      <w:pPr>
        <w:numPr>
          <w:ilvl w:val="0"/>
          <w:numId w:val="2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מאפייני עונת האביב</w:t>
      </w:r>
      <w:r w:rsidRPr="00C21E12">
        <w:rPr>
          <w:rFonts w:ascii="David" w:eastAsia="Calibri" w:hAnsi="David" w:cs="David" w:hint="cs"/>
          <w:sz w:val="24"/>
          <w:szCs w:val="24"/>
          <w:rtl/>
        </w:rPr>
        <w:t>: מזג האוויר, אורך היום והלילה, מאפיינים של התנהגות צמחים ובעלי החיים, מגוון המינים בטבע. מומלץ לקיים סיור בסביבה הקרובה להתרשמות ולהכרת מאפייני האביב (מתאים לכל הכיתות).</w:t>
      </w:r>
    </w:p>
    <w:p w14:paraId="3A541C48" w14:textId="77777777" w:rsidR="00C21E12" w:rsidRPr="00C21E12" w:rsidRDefault="00C21E12" w:rsidP="00C21E12">
      <w:pPr>
        <w:bidi/>
        <w:spacing w:after="0" w:line="360" w:lineRule="auto"/>
        <w:ind w:left="360"/>
        <w:contextualSpacing/>
        <w:rPr>
          <w:rFonts w:ascii="David" w:eastAsia="Calibri" w:hAnsi="David" w:cs="David"/>
          <w:b/>
          <w:bCs/>
          <w:sz w:val="24"/>
          <w:szCs w:val="24"/>
          <w:rtl/>
        </w:rPr>
      </w:pPr>
      <w:bookmarkStart w:id="0" w:name="_Hlk193293651"/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באתר  </w:t>
      </w: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במבט מקוון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 </w:t>
      </w:r>
      <w:bookmarkEnd w:id="0"/>
      <w:r w:rsidRPr="00C21E12">
        <w:rPr>
          <w:rFonts w:ascii="David" w:eastAsia="Calibri" w:hAnsi="David" w:cs="David" w:hint="cs"/>
          <w:sz w:val="24"/>
          <w:szCs w:val="24"/>
          <w:rtl/>
        </w:rPr>
        <w:t>תמצאו משימות דיגיטליות בנושא האביב.</w:t>
      </w: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2622"/>
        <w:gridCol w:w="2842"/>
        <w:gridCol w:w="2832"/>
      </w:tblGrid>
      <w:tr w:rsidR="00C21E12" w:rsidRPr="00C21E12" w14:paraId="4DCFE9AA" w14:textId="77777777" w:rsidTr="00EB6A45">
        <w:tc>
          <w:tcPr>
            <w:tcW w:w="2622" w:type="dxa"/>
          </w:tcPr>
          <w:p w14:paraId="47CDD23E" w14:textId="77777777" w:rsidR="00C21E12" w:rsidRPr="00C21E12" w:rsidRDefault="00C21E12" w:rsidP="00C21E12">
            <w:pPr>
              <w:bidi/>
              <w:spacing w:after="200" w:line="276" w:lineRule="auto"/>
              <w:jc w:val="center"/>
              <w:rPr>
                <w:rFonts w:ascii="David" w:eastAsia="Calibri" w:hAnsi="David" w:cs="David"/>
                <w:b/>
                <w:bCs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b/>
                <w:bCs/>
                <w:sz w:val="24"/>
                <w:szCs w:val="24"/>
                <w:rtl/>
              </w:rPr>
              <w:t>כיתות א-ב</w:t>
            </w:r>
          </w:p>
        </w:tc>
        <w:tc>
          <w:tcPr>
            <w:tcW w:w="2842" w:type="dxa"/>
          </w:tcPr>
          <w:p w14:paraId="3E07776E" w14:textId="77777777" w:rsidR="00C21E12" w:rsidRPr="00C21E12" w:rsidRDefault="00C21E12" w:rsidP="00C21E12">
            <w:pPr>
              <w:bidi/>
              <w:spacing w:after="200" w:line="276" w:lineRule="auto"/>
              <w:jc w:val="center"/>
              <w:rPr>
                <w:rFonts w:ascii="David" w:eastAsia="Calibri" w:hAnsi="David" w:cs="David"/>
                <w:b/>
                <w:bCs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b/>
                <w:bCs/>
                <w:sz w:val="24"/>
                <w:szCs w:val="24"/>
                <w:rtl/>
              </w:rPr>
              <w:t>כיתות ג-ד</w:t>
            </w:r>
          </w:p>
        </w:tc>
        <w:tc>
          <w:tcPr>
            <w:tcW w:w="2832" w:type="dxa"/>
          </w:tcPr>
          <w:p w14:paraId="3F7D87CF" w14:textId="77777777" w:rsidR="00C21E12" w:rsidRPr="00C21E12" w:rsidRDefault="00C21E12" w:rsidP="00C21E12">
            <w:pPr>
              <w:bidi/>
              <w:spacing w:after="200" w:line="276" w:lineRule="auto"/>
              <w:jc w:val="center"/>
              <w:rPr>
                <w:rFonts w:ascii="David" w:eastAsia="Calibri" w:hAnsi="David" w:cs="David"/>
                <w:b/>
                <w:bCs/>
                <w:noProof/>
                <w:sz w:val="24"/>
                <w:szCs w:val="24"/>
              </w:rPr>
            </w:pPr>
            <w:r w:rsidRPr="00C21E12">
              <w:rPr>
                <w:rFonts w:ascii="David" w:eastAsia="Calibri" w:hAnsi="David" w:cs="David"/>
                <w:b/>
                <w:bCs/>
                <w:noProof/>
                <w:sz w:val="24"/>
                <w:szCs w:val="24"/>
                <w:rtl/>
              </w:rPr>
              <w:t>כיתה ד-ו</w:t>
            </w:r>
          </w:p>
        </w:tc>
      </w:tr>
      <w:tr w:rsidR="00C21E12" w:rsidRPr="00C21E12" w14:paraId="63583204" w14:textId="77777777" w:rsidTr="00EB6A45">
        <w:tc>
          <w:tcPr>
            <w:tcW w:w="2622" w:type="dxa"/>
          </w:tcPr>
          <w:p w14:paraId="3C43F3F4" w14:textId="77777777" w:rsidR="00C21E12" w:rsidRPr="00C21E12" w:rsidRDefault="00C21E12" w:rsidP="00C21E12">
            <w:pPr>
              <w:bidi/>
              <w:spacing w:after="200" w:line="276" w:lineRule="auto"/>
              <w:rPr>
                <w:rFonts w:ascii="David" w:eastAsia="Calibri" w:hAnsi="David" w:cs="David"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noProof/>
                <w:sz w:val="24"/>
                <w:szCs w:val="24"/>
              </w:rPr>
              <w:drawing>
                <wp:inline distT="0" distB="0" distL="0" distR="0" wp14:anchorId="688718B8" wp14:editId="21CC49ED">
                  <wp:extent cx="1676400" cy="1394234"/>
                  <wp:effectExtent l="0" t="0" r="0" b="0"/>
                  <wp:docPr id="123922774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4143" cy="1400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2" w:type="dxa"/>
          </w:tcPr>
          <w:p w14:paraId="15F29F46" w14:textId="77777777" w:rsidR="00C21E12" w:rsidRPr="00C21E12" w:rsidRDefault="00C21E12" w:rsidP="00C21E12">
            <w:pPr>
              <w:bidi/>
              <w:spacing w:after="200" w:line="276" w:lineRule="auto"/>
              <w:rPr>
                <w:rFonts w:ascii="David" w:eastAsia="Calibri" w:hAnsi="David" w:cs="David"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noProof/>
                <w:sz w:val="24"/>
                <w:szCs w:val="24"/>
              </w:rPr>
              <w:drawing>
                <wp:inline distT="0" distB="0" distL="0" distR="0" wp14:anchorId="353CBEF9" wp14:editId="767720EF">
                  <wp:extent cx="1821232" cy="1371600"/>
                  <wp:effectExtent l="0" t="0" r="7620" b="0"/>
                  <wp:docPr id="1121219604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6370" cy="1390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2" w:type="dxa"/>
          </w:tcPr>
          <w:p w14:paraId="17D50CC9" w14:textId="77777777" w:rsidR="00C21E12" w:rsidRPr="00C21E12" w:rsidRDefault="00C21E12" w:rsidP="00C21E12">
            <w:pPr>
              <w:bidi/>
              <w:spacing w:after="200" w:line="276" w:lineRule="auto"/>
              <w:rPr>
                <w:rFonts w:ascii="David" w:eastAsia="Calibri" w:hAnsi="David" w:cs="David"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noProof/>
                <w:sz w:val="24"/>
                <w:szCs w:val="24"/>
              </w:rPr>
              <w:drawing>
                <wp:inline distT="0" distB="0" distL="0" distR="0" wp14:anchorId="53375FCB" wp14:editId="0E62C90A">
                  <wp:extent cx="1822082" cy="1400175"/>
                  <wp:effectExtent l="0" t="0" r="0" b="0"/>
                  <wp:docPr id="641066712" name="תמונה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6309" cy="1403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983A9BB" w14:textId="77777777" w:rsidR="00C21E12" w:rsidRPr="00C21E12" w:rsidRDefault="00C21E12" w:rsidP="00C21E12">
      <w:pPr>
        <w:bidi/>
        <w:spacing w:after="200" w:line="276" w:lineRule="auto"/>
        <w:ind w:left="360"/>
        <w:contextualSpacing/>
        <w:rPr>
          <w:rFonts w:ascii="David" w:eastAsia="Calibri" w:hAnsi="David" w:cs="David"/>
          <w:sz w:val="24"/>
          <w:szCs w:val="24"/>
          <w:rtl/>
        </w:rPr>
      </w:pPr>
    </w:p>
    <w:p w14:paraId="5B134273" w14:textId="77777777" w:rsidR="00C21E12" w:rsidRPr="00C21E12" w:rsidRDefault="00C21E12" w:rsidP="00C21E12">
      <w:pPr>
        <w:numPr>
          <w:ilvl w:val="0"/>
          <w:numId w:val="2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המצה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: השמרים כגורם לתפיחת בצק (חקר מדעי), השוואה בין מצה לבין לחם (מתאים לכיתה ה בהקשר לעיבוד מזון). </w:t>
      </w:r>
    </w:p>
    <w:p w14:paraId="0CE9159D" w14:textId="77777777" w:rsidR="00C21E12" w:rsidRPr="00C21E12" w:rsidRDefault="00C21E12" w:rsidP="00C21E12">
      <w:pPr>
        <w:numPr>
          <w:ilvl w:val="0"/>
          <w:numId w:val="2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ארבע  כוסיות היין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. </w:t>
      </w:r>
      <w:r w:rsidRPr="00C21E12">
        <w:rPr>
          <w:rFonts w:ascii="David" w:eastAsia="Calibri" w:hAnsi="David" w:cs="David"/>
          <w:sz w:val="24"/>
          <w:szCs w:val="24"/>
          <w:rtl/>
        </w:rPr>
        <w:t xml:space="preserve">ביהדות 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</w:t>
      </w:r>
      <w:r w:rsidRPr="00C21E12">
        <w:rPr>
          <w:rFonts w:ascii="David" w:eastAsia="Calibri" w:hAnsi="David" w:cs="David"/>
          <w:sz w:val="24"/>
          <w:szCs w:val="24"/>
          <w:rtl/>
        </w:rPr>
        <w:t>זוכה היין למקום של כבוד, עוד מתקופת התנ"ך</w:t>
      </w:r>
      <w:r w:rsidRPr="00C21E12">
        <w:rPr>
          <w:rFonts w:ascii="David" w:eastAsia="Calibri" w:hAnsi="David" w:cs="David"/>
          <w:sz w:val="24"/>
          <w:szCs w:val="24"/>
        </w:rPr>
        <w:t>.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  </w:t>
      </w:r>
      <w:r w:rsidRPr="00C21E12">
        <w:rPr>
          <w:rFonts w:ascii="David" w:eastAsia="Calibri" w:hAnsi="David" w:cs="David"/>
          <w:sz w:val="24"/>
          <w:szCs w:val="24"/>
          <w:rtl/>
        </w:rPr>
        <w:t>קידוש של ערב שבת,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</w:t>
      </w:r>
      <w:r w:rsidRPr="00C21E12">
        <w:rPr>
          <w:rFonts w:ascii="David" w:eastAsia="Calibri" w:hAnsi="David" w:cs="David"/>
          <w:sz w:val="24"/>
          <w:szCs w:val="24"/>
          <w:rtl/>
        </w:rPr>
        <w:t>ארבע כוסות היין אותן אנו שותים בליל הסדר, מנהג השתייה לשוכרה במהלך חג הפורים, וגם ההבדלה שנערכת במוצאי שבת</w:t>
      </w:r>
      <w:r w:rsidRPr="00C21E12">
        <w:rPr>
          <w:rFonts w:ascii="David" w:eastAsia="Calibri" w:hAnsi="David" w:cs="David" w:hint="cs"/>
          <w:sz w:val="24"/>
          <w:szCs w:val="24"/>
          <w:rtl/>
        </w:rPr>
        <w:t>.</w:t>
      </w:r>
      <w:r w:rsidRPr="00C21E12">
        <w:rPr>
          <w:rFonts w:ascii="almoni-dl" w:eastAsia="Calibri" w:hAnsi="almoni-dl" w:cs="Arial" w:hint="cs"/>
          <w:color w:val="4D4D4D"/>
          <w:sz w:val="24"/>
          <w:szCs w:val="24"/>
          <w:shd w:val="clear" w:color="auto" w:fill="FFFFFF"/>
          <w:rtl/>
        </w:rPr>
        <w:t xml:space="preserve"> 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באתר </w:t>
      </w: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במבט מקוון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(כיתה ג), תמצאו את המשימה "נשתה, נשתה לחיים" המציגה היבטים בוטניים (צמח הגפן), היבטים טכנולוגיים (הפקת היין) והיבטים תרבותיים (שימושים ביין).</w:t>
      </w:r>
    </w:p>
    <w:p w14:paraId="64EEE7B9" w14:textId="77777777" w:rsidR="00C21E12" w:rsidRPr="00C21E12" w:rsidRDefault="00C21E12" w:rsidP="00C21E12">
      <w:pPr>
        <w:bidi/>
        <w:spacing w:after="0" w:line="360" w:lineRule="auto"/>
        <w:ind w:left="360"/>
        <w:contextualSpacing/>
        <w:jc w:val="center"/>
        <w:rPr>
          <w:rFonts w:ascii="David" w:eastAsia="Calibri" w:hAnsi="David" w:cs="David"/>
          <w:b/>
          <w:bCs/>
          <w:sz w:val="24"/>
          <w:szCs w:val="24"/>
          <w:rtl/>
        </w:rPr>
      </w:pPr>
      <w:r w:rsidRPr="00C21E12">
        <w:rPr>
          <w:rFonts w:ascii="David" w:eastAsia="Calibri" w:hAnsi="David" w:cs="David"/>
          <w:b/>
          <w:bCs/>
          <w:noProof/>
          <w:sz w:val="24"/>
          <w:szCs w:val="24"/>
          <w:rtl/>
        </w:rPr>
        <w:drawing>
          <wp:inline distT="0" distB="0" distL="0" distR="0" wp14:anchorId="7EC73362" wp14:editId="3B0B43FE">
            <wp:extent cx="1765426" cy="1567032"/>
            <wp:effectExtent l="0" t="0" r="6350" b="0"/>
            <wp:docPr id="125596541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5965414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71093" cy="1572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3C8D2F" w14:textId="77777777" w:rsidR="00C21E12" w:rsidRPr="00C21E12" w:rsidRDefault="00C21E12" w:rsidP="00C21E12">
      <w:pPr>
        <w:bidi/>
        <w:spacing w:after="0" w:line="360" w:lineRule="auto"/>
        <w:ind w:left="360"/>
        <w:contextualSpacing/>
        <w:rPr>
          <w:rFonts w:ascii="David" w:eastAsia="Calibri" w:hAnsi="David" w:cs="David"/>
          <w:sz w:val="24"/>
          <w:szCs w:val="24"/>
        </w:rPr>
      </w:pPr>
    </w:p>
    <w:p w14:paraId="7A0109E7" w14:textId="77777777" w:rsidR="00C21E12" w:rsidRPr="00C21E12" w:rsidRDefault="00C21E12" w:rsidP="00C21E12">
      <w:pPr>
        <w:numPr>
          <w:ilvl w:val="0"/>
          <w:numId w:val="2"/>
        </w:numPr>
        <w:bidi/>
        <w:spacing w:after="0" w:line="360" w:lineRule="auto"/>
        <w:contextualSpacing/>
        <w:rPr>
          <w:rFonts w:ascii="David" w:eastAsia="Calibri" w:hAnsi="David" w:cs="David"/>
          <w:sz w:val="24"/>
          <w:szCs w:val="24"/>
          <w:rtl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lastRenderedPageBreak/>
        <w:t>עשרת המכות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:  </w:t>
      </w:r>
      <w:hyperlink r:id="rId11" w:history="1">
        <w:r w:rsidRPr="00C21E12">
          <w:rPr>
            <w:rFonts w:ascii="David" w:eastAsia="Calibri" w:hAnsi="David" w:cs="David" w:hint="cs"/>
            <w:color w:val="0000FF"/>
            <w:sz w:val="24"/>
            <w:szCs w:val="24"/>
            <w:u w:val="single"/>
            <w:rtl/>
          </w:rPr>
          <w:t>עשרת המכות מזווית מדעית</w:t>
        </w:r>
      </w:hyperlink>
      <w:r w:rsidRPr="00C21E12">
        <w:rPr>
          <w:rFonts w:ascii="David" w:eastAsia="Calibri" w:hAnsi="David" w:cs="David" w:hint="cs"/>
          <w:sz w:val="24"/>
          <w:szCs w:val="24"/>
          <w:rtl/>
        </w:rPr>
        <w:t>, 2012. מכון דוידסון, הזרוע החינוכית של מכון ויצמן. מומלץ להתאים את ההסבר המדעי של המכה בהתאם לשנת הגיל. לדוגמה: מכת צפרדעים (כיתה ד, מחלקת הדו-חיים), מכת הברד (כיתה ד, מצבי צבירה), דם (כיתה ו, מערכת הדם.</w:t>
      </w:r>
    </w:p>
    <w:p w14:paraId="14E5EE36" w14:textId="77777777" w:rsidR="00C21E12" w:rsidRPr="00C21E12" w:rsidRDefault="00C21E12" w:rsidP="00C21E12">
      <w:pPr>
        <w:numPr>
          <w:ilvl w:val="0"/>
          <w:numId w:val="2"/>
        </w:numPr>
        <w:bidi/>
        <w:spacing w:after="0" w:line="360" w:lineRule="auto"/>
        <w:contextualSpacing/>
        <w:rPr>
          <w:rFonts w:ascii="David" w:eastAsia="Calibri" w:hAnsi="David" w:cs="David"/>
          <w:b/>
          <w:bCs/>
          <w:sz w:val="24"/>
          <w:szCs w:val="24"/>
          <w:rtl/>
        </w:rPr>
      </w:pP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בנייה מחומרים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: שימוש בבוץ (חרסית) ואבנים לבנייה. באתר </w:t>
      </w:r>
      <w:r w:rsidRPr="00C21E12">
        <w:rPr>
          <w:rFonts w:ascii="David" w:eastAsia="Calibri" w:hAnsi="David" w:cs="David" w:hint="cs"/>
          <w:b/>
          <w:bCs/>
          <w:sz w:val="24"/>
          <w:szCs w:val="24"/>
          <w:rtl/>
        </w:rPr>
        <w:t>במבט חדש</w:t>
      </w:r>
      <w:r w:rsidRPr="00C21E12">
        <w:rPr>
          <w:rFonts w:ascii="David" w:eastAsia="Calibri" w:hAnsi="David" w:cs="David" w:hint="cs"/>
          <w:sz w:val="24"/>
          <w:szCs w:val="24"/>
          <w:rtl/>
        </w:rPr>
        <w:t xml:space="preserve"> בתת המדור חגים ומועדים שמדור אירועים מיוחדים תמצאו שתי מצגות האחת בנושא פירמידות והשנייה בנושא  הבנייה מבוץ. שתי המצגות מזמנות עשיינות וחקר ופתרון בעיות.  </w:t>
      </w: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59"/>
        <w:gridCol w:w="4137"/>
      </w:tblGrid>
      <w:tr w:rsidR="00C21E12" w:rsidRPr="00C21E12" w14:paraId="550CAB1B" w14:textId="77777777" w:rsidTr="00EB6A45">
        <w:tc>
          <w:tcPr>
            <w:tcW w:w="4159" w:type="dxa"/>
          </w:tcPr>
          <w:p w14:paraId="53F05ADE" w14:textId="77777777" w:rsidR="00C21E12" w:rsidRPr="00C21E12" w:rsidRDefault="00C21E12" w:rsidP="00C21E12">
            <w:pPr>
              <w:bidi/>
              <w:spacing w:after="200" w:line="360" w:lineRule="auto"/>
              <w:rPr>
                <w:rFonts w:ascii="David" w:eastAsia="Calibri" w:hAnsi="David" w:cs="David"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noProof/>
                <w:sz w:val="24"/>
                <w:szCs w:val="24"/>
              </w:rPr>
              <w:drawing>
                <wp:inline distT="0" distB="0" distL="0" distR="0" wp14:anchorId="3A3C37D2" wp14:editId="3336573F">
                  <wp:extent cx="2492375" cy="1600200"/>
                  <wp:effectExtent l="0" t="0" r="0" b="0"/>
                  <wp:docPr id="372196310" name="גרפיק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2196310" name="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6263" cy="1615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37" w:type="dxa"/>
          </w:tcPr>
          <w:p w14:paraId="46DADAE7" w14:textId="77777777" w:rsidR="00C21E12" w:rsidRPr="00C21E12" w:rsidRDefault="00C21E12" w:rsidP="00C21E12">
            <w:pPr>
              <w:bidi/>
              <w:spacing w:after="200" w:line="360" w:lineRule="auto"/>
              <w:rPr>
                <w:rFonts w:ascii="David" w:eastAsia="Calibri" w:hAnsi="David" w:cs="David"/>
                <w:sz w:val="24"/>
                <w:szCs w:val="24"/>
                <w:rtl/>
              </w:rPr>
            </w:pPr>
            <w:r w:rsidRPr="00C21E12">
              <w:rPr>
                <w:rFonts w:ascii="David" w:eastAsia="Calibri" w:hAnsi="David" w:cs="David"/>
                <w:noProof/>
                <w:sz w:val="24"/>
                <w:szCs w:val="24"/>
              </w:rPr>
              <w:drawing>
                <wp:inline distT="0" distB="0" distL="0" distR="0" wp14:anchorId="46BDCB33" wp14:editId="7A295005">
                  <wp:extent cx="2475865" cy="1618829"/>
                  <wp:effectExtent l="0" t="0" r="0" b="0"/>
                  <wp:docPr id="306906996" name="גרפיק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6906996" name=""/>
                          <pic:cNvPicPr/>
                        </pic:nvPicPr>
                        <pic:blipFill>
                          <a:blip r:embed="rId14">
                            <a:extLs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5846" cy="16318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20D06D2" w14:textId="77777777" w:rsidR="00C21E12" w:rsidRPr="00C21E12" w:rsidRDefault="00C21E12" w:rsidP="00C21E12">
      <w:pPr>
        <w:bidi/>
        <w:spacing w:after="200" w:line="276" w:lineRule="auto"/>
        <w:rPr>
          <w:rFonts w:ascii="David" w:eastAsia="Calibri" w:hAnsi="David" w:cs="David"/>
          <w:sz w:val="24"/>
          <w:szCs w:val="24"/>
          <w:rtl/>
        </w:rPr>
      </w:pPr>
    </w:p>
    <w:p w14:paraId="28CB823A" w14:textId="77777777" w:rsidR="00C21E12" w:rsidRPr="00C21E12" w:rsidRDefault="00C21E12" w:rsidP="00C21E12">
      <w:pPr>
        <w:bidi/>
        <w:spacing w:after="200" w:line="276" w:lineRule="auto"/>
        <w:rPr>
          <w:rFonts w:ascii="Calibri" w:eastAsia="Calibri" w:hAnsi="Calibri" w:cs="Arial"/>
          <w:rtl/>
        </w:rPr>
      </w:pPr>
    </w:p>
    <w:p w14:paraId="224FC00B" w14:textId="77777777" w:rsidR="00C21E12" w:rsidRPr="00C21E12" w:rsidRDefault="00C21E12" w:rsidP="00C21E12">
      <w:pPr>
        <w:bidi/>
        <w:spacing w:after="200" w:line="276" w:lineRule="auto"/>
        <w:rPr>
          <w:rFonts w:ascii="Calibri" w:eastAsia="Calibri" w:hAnsi="Calibri" w:cs="Arial"/>
        </w:rPr>
      </w:pPr>
    </w:p>
    <w:p w14:paraId="28B6A3B1" w14:textId="77777777" w:rsidR="00907835" w:rsidRPr="00907835" w:rsidRDefault="00907835" w:rsidP="00907835">
      <w:pPr>
        <w:rPr>
          <w:rtl/>
        </w:rPr>
      </w:pPr>
    </w:p>
    <w:p w14:paraId="390CEC64" w14:textId="5369C51F" w:rsidR="00907835" w:rsidRPr="00907835" w:rsidRDefault="007C248A" w:rsidP="007C248A">
      <w:pPr>
        <w:tabs>
          <w:tab w:val="left" w:pos="3160"/>
        </w:tabs>
        <w:rPr>
          <w:rtl/>
        </w:rPr>
      </w:pPr>
      <w:r>
        <w:tab/>
      </w:r>
    </w:p>
    <w:p w14:paraId="0001DC8A" w14:textId="77777777" w:rsidR="00907835" w:rsidRDefault="00907835" w:rsidP="00907835">
      <w:pPr>
        <w:rPr>
          <w:rtl/>
        </w:rPr>
      </w:pPr>
    </w:p>
    <w:p w14:paraId="714F770A" w14:textId="1096A70F" w:rsidR="00907835" w:rsidRPr="00907835" w:rsidRDefault="00907835" w:rsidP="00907835">
      <w:pPr>
        <w:tabs>
          <w:tab w:val="left" w:pos="1635"/>
        </w:tabs>
      </w:pPr>
      <w:r>
        <w:tab/>
      </w:r>
    </w:p>
    <w:sectPr w:rsidR="00907835" w:rsidRPr="00907835">
      <w:headerReference w:type="default" r:id="rId1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1F86F" w14:textId="77777777" w:rsidR="00886ECB" w:rsidRDefault="00886ECB" w:rsidP="00907835">
      <w:pPr>
        <w:spacing w:after="0" w:line="240" w:lineRule="auto"/>
      </w:pPr>
      <w:r>
        <w:separator/>
      </w:r>
    </w:p>
  </w:endnote>
  <w:endnote w:type="continuationSeparator" w:id="0">
    <w:p w14:paraId="776EF16C" w14:textId="77777777" w:rsidR="00886ECB" w:rsidRDefault="00886ECB" w:rsidP="009078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lmoni-dl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79CF8" w14:textId="77777777" w:rsidR="00886ECB" w:rsidRDefault="00886ECB" w:rsidP="00907835">
      <w:pPr>
        <w:spacing w:after="0" w:line="240" w:lineRule="auto"/>
      </w:pPr>
      <w:r>
        <w:separator/>
      </w:r>
    </w:p>
  </w:footnote>
  <w:footnote w:type="continuationSeparator" w:id="0">
    <w:p w14:paraId="6B3E280B" w14:textId="77777777" w:rsidR="00886ECB" w:rsidRDefault="00886ECB" w:rsidP="009078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4C1359" w14:textId="6632391D" w:rsidR="00907835" w:rsidRDefault="007C248A" w:rsidP="00907835">
    <w:pPr>
      <w:pStyle w:val="a3"/>
      <w:jc w:val="center"/>
    </w:pPr>
    <w:r w:rsidRPr="007C248A">
      <w:rPr>
        <w:noProof/>
      </w:rPr>
      <w:drawing>
        <wp:inline distT="0" distB="0" distL="0" distR="0" wp14:anchorId="2FC5F503" wp14:editId="3DAA902C">
          <wp:extent cx="2781300" cy="629728"/>
          <wp:effectExtent l="0" t="0" r="0" b="0"/>
          <wp:docPr id="128837738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837738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22859" cy="6391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9D0E6A"/>
    <w:multiLevelType w:val="hybridMultilevel"/>
    <w:tmpl w:val="35E611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9033739"/>
    <w:multiLevelType w:val="hybridMultilevel"/>
    <w:tmpl w:val="772AFC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140099355">
    <w:abstractNumId w:val="1"/>
  </w:num>
  <w:num w:numId="2" w16cid:durableId="1208640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835"/>
    <w:rsid w:val="0016334A"/>
    <w:rsid w:val="001C34C1"/>
    <w:rsid w:val="004A2B68"/>
    <w:rsid w:val="004F5A1F"/>
    <w:rsid w:val="00663493"/>
    <w:rsid w:val="007C248A"/>
    <w:rsid w:val="007F26D1"/>
    <w:rsid w:val="008366E0"/>
    <w:rsid w:val="00886ECB"/>
    <w:rsid w:val="00907835"/>
    <w:rsid w:val="00912129"/>
    <w:rsid w:val="00994FB6"/>
    <w:rsid w:val="009E3E69"/>
    <w:rsid w:val="00C21E12"/>
    <w:rsid w:val="00C23899"/>
    <w:rsid w:val="00D27B59"/>
    <w:rsid w:val="00DD6BB0"/>
    <w:rsid w:val="00E67E72"/>
    <w:rsid w:val="00F06CC4"/>
    <w:rsid w:val="00FD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D5BAF5"/>
  <w15:chartTrackingRefBased/>
  <w15:docId w15:val="{F0CBD8DA-31AD-4A0B-ABDE-358C8D8AE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78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07835"/>
  </w:style>
  <w:style w:type="paragraph" w:styleId="a5">
    <w:name w:val="footer"/>
    <w:basedOn w:val="a"/>
    <w:link w:val="a6"/>
    <w:uiPriority w:val="99"/>
    <w:unhideWhenUsed/>
    <w:rsid w:val="009078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07835"/>
  </w:style>
  <w:style w:type="table" w:customStyle="1" w:styleId="TableGrid1">
    <w:name w:val="Table Grid1"/>
    <w:basedOn w:val="a1"/>
    <w:next w:val="a7"/>
    <w:uiPriority w:val="59"/>
    <w:rsid w:val="00C21E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C21E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sv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avidson.weizmann.ac.il/online/sciencepanorama/%D7%A2%D7%A9%D7%A8-%D7%94%D7%9E%D7%9B%D7%95%D7%AA-%D7%9E%D7%96%D7%95%D7%95%D7%99%D7%AA-%D7%9E%D7%93%D7%A2%D7%99%D7%AA?gad_source=1&amp;gclid=Cj0KCQjw1um-BhDtARIsABjU5x4tjtgGEzw4s6eEBFIEqYMbUC4t_e5T6lUyvnkYF1uZJX2iSV9MRxoaAr2bEALw_wcB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8.sv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304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 Samkai</dc:creator>
  <cp:keywords/>
  <dc:description/>
  <cp:lastModifiedBy>דליה קילים</cp:lastModifiedBy>
  <cp:revision>3</cp:revision>
  <dcterms:created xsi:type="dcterms:W3CDTF">2025-03-23T10:10:00Z</dcterms:created>
  <dcterms:modified xsi:type="dcterms:W3CDTF">2025-03-23T10:11:00Z</dcterms:modified>
</cp:coreProperties>
</file>