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80" w:rsidRPr="004245AC" w:rsidRDefault="000F4F80" w:rsidP="007D43E3">
      <w:pPr>
        <w:spacing w:line="360" w:lineRule="auto"/>
        <w:jc w:val="both"/>
        <w:rPr>
          <w:rFonts w:cs="David"/>
          <w:b/>
          <w:bCs/>
          <w:sz w:val="36"/>
          <w:szCs w:val="36"/>
          <w:rtl/>
          <w:lang w:eastAsia="he-IL"/>
        </w:rPr>
      </w:pPr>
      <w:bookmarkStart w:id="0" w:name="_GoBack"/>
      <w:bookmarkEnd w:id="0"/>
      <w:r w:rsidRPr="007C1BC6">
        <w:rPr>
          <w:rStyle w:val="10"/>
          <w:rFonts w:hint="cs"/>
          <w:color w:val="auto"/>
          <w:sz w:val="40"/>
          <w:szCs w:val="40"/>
          <w:rtl/>
        </w:rPr>
        <w:t>חומרים</w:t>
      </w:r>
      <w:r w:rsidR="00D57B8B" w:rsidRPr="007C1BC6">
        <w:rPr>
          <w:rStyle w:val="10"/>
          <w:rFonts w:hint="cs"/>
          <w:color w:val="auto"/>
          <w:sz w:val="40"/>
          <w:szCs w:val="40"/>
          <w:rtl/>
        </w:rPr>
        <w:t xml:space="preserve"> </w:t>
      </w:r>
      <w:r w:rsidRPr="007D43E3">
        <w:rPr>
          <w:rFonts w:cs="David"/>
          <w:b/>
          <w:bCs/>
          <w:sz w:val="40"/>
          <w:szCs w:val="40"/>
          <w:vertAlign w:val="superscript"/>
          <w:rtl/>
          <w:lang w:eastAsia="he-IL"/>
        </w:rPr>
        <w:footnoteReference w:id="1"/>
      </w:r>
    </w:p>
    <w:p w:rsidR="000F4F80" w:rsidRPr="007D43E3" w:rsidRDefault="000F4F80" w:rsidP="007D43E3">
      <w:pPr>
        <w:spacing w:after="120"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מהו חומר?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האם יש הגדרה מוסכמת ל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מונח</w:t>
      </w:r>
      <w:r w:rsidRPr="007D43E3">
        <w:rPr>
          <w:rFonts w:ascii="David" w:hAnsi="David" w:cs="David" w:hint="cs"/>
          <w:b/>
          <w:bCs/>
          <w:sz w:val="26"/>
          <w:szCs w:val="26"/>
          <w:rtl/>
          <w:lang w:eastAsia="he-IL"/>
        </w:rPr>
        <w:t xml:space="preserve">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חומר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? אם תשאלו תלמידים צעירים מהו חומר, הם יתקשו מאוד לענות על השאלה. קרוב לוודאי שבתשובותיהם הם יכללו חומרים גולמיים, חפצים העשויים מחומרים, וגם דברים שאינם חומר, כגון חשמל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 xml:space="preserve"> או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חום. זאת ועוד, תלמידים אינם מודעים לכך שאוויר הוא חומר, מפני שאי אפשר לראות אותו או למשש אותו. לצורך ההגדרה המדעית נ</w:t>
      </w:r>
      <w:r w:rsidR="008F79BD">
        <w:rPr>
          <w:rFonts w:ascii="David" w:hAnsi="David" w:cs="David" w:hint="cs"/>
          <w:sz w:val="26"/>
          <w:szCs w:val="26"/>
          <w:rtl/>
          <w:lang w:eastAsia="he-IL"/>
        </w:rPr>
        <w:t>ֹ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אמר כאן כי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חומר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מוגדר ככל דבר שיש לו את שתי התכונות הבאות: הוא בעל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מסה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ובעל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נפח.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</w:t>
      </w:r>
    </w:p>
    <w:p w:rsidR="000F4F80" w:rsidRPr="007D43E3" w:rsidRDefault="000F4F80" w:rsidP="007D43E3">
      <w:pPr>
        <w:spacing w:after="120"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המסה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של החומר נגזרת מכמות החומר. ככל שכמות החומר רבה יותר, המסה שלו גדולה יותר. את המסה מודדים ביחידות של גרמים, קילוגרמים, טון וכדומה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.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(בחיי היומיום נוהגים בטעות לכנות את המסה בשם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משקל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 xml:space="preserve">.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אולם המשקל הוא גודל התלוי בכוח המשיכה, ואילו המסה אינה תלויה אלא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בכמות החומר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. יחידת המידה של המשקל היא ניוטון.)</w:t>
      </w:r>
    </w:p>
    <w:p w:rsidR="000F4F80" w:rsidRPr="00386337" w:rsidRDefault="000F4F80" w:rsidP="00386337">
      <w:pPr>
        <w:spacing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הנפח</w:t>
      </w:r>
      <w:r w:rsidRPr="007D43E3">
        <w:rPr>
          <w:rFonts w:ascii="David" w:hAnsi="David" w:cs="David"/>
          <w:i/>
          <w:iCs/>
          <w:sz w:val="26"/>
          <w:szCs w:val="26"/>
          <w:rtl/>
          <w:lang w:eastAsia="he-IL"/>
        </w:rPr>
        <w:t xml:space="preserve">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של החומר הוא המרחב שהוא תופס בחלל. נפח החומר נמדד ביחידות של מיליליטר, מטר מעוקב, ליטר וכדומה. לפי הגדרה זאת, גם גז למרות שקיפותו הוא חומר, שכן אם 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נכניס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אותו 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ל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בלון, הבלון יתנפח ויקבל את נפח הגז; ואם נניח את הבלון המנופח על מאזניים, 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נמדוד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מסה גדולה ממסת הבלון 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הריק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. ומכאן שלגז שבבלון יש מסה. לעומת זאת, לא נוכל למדוד נפח של אנרגיה או לשקול אותה, כשם שלא נוכל </w:t>
      </w:r>
      <w:r w:rsidR="002C1483">
        <w:rPr>
          <w:rFonts w:ascii="David" w:hAnsi="David" w:cs="David" w:hint="cs"/>
          <w:sz w:val="26"/>
          <w:szCs w:val="26"/>
          <w:rtl/>
          <w:lang w:eastAsia="he-IL"/>
        </w:rPr>
        <w:t xml:space="preserve">לשקול או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למדוד </w:t>
      </w:r>
      <w:r w:rsidR="002C1483">
        <w:rPr>
          <w:rFonts w:ascii="David" w:hAnsi="David" w:cs="David" w:hint="cs"/>
          <w:sz w:val="26"/>
          <w:szCs w:val="26"/>
          <w:rtl/>
          <w:lang w:eastAsia="he-IL"/>
        </w:rPr>
        <w:t xml:space="preserve">נפח של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חום, 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ולכן אלה אינם חומרים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.</w:t>
      </w:r>
    </w:p>
    <w:p w:rsidR="000F4F80" w:rsidRPr="007D43E3" w:rsidRDefault="000F4F80" w:rsidP="00386337">
      <w:pPr>
        <w:spacing w:before="240" w:line="360" w:lineRule="auto"/>
        <w:rPr>
          <w:rFonts w:cs="David"/>
          <w:b/>
          <w:bCs/>
          <w:sz w:val="26"/>
          <w:szCs w:val="26"/>
          <w:rtl/>
          <w:lang w:eastAsia="he-IL"/>
        </w:rPr>
      </w:pPr>
      <w:r w:rsidRPr="007D43E3">
        <w:rPr>
          <w:rFonts w:cs="David"/>
          <w:b/>
          <w:bCs/>
          <w:sz w:val="26"/>
          <w:szCs w:val="26"/>
          <w:rtl/>
          <w:lang w:eastAsia="he-IL"/>
        </w:rPr>
        <w:t xml:space="preserve">תפיסות של תלמידים בנושא חומרים: מה תלמידים חושבים על החומר? </w:t>
      </w:r>
    </w:p>
    <w:p w:rsidR="00D57B8B" w:rsidRPr="007D43E3" w:rsidRDefault="000F4F80" w:rsidP="00386337">
      <w:pPr>
        <w:spacing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כבר בגיל צעיר מאוד תלמידים מגבשים לעצמם ידע על מושגים, על תופעות ועל תהליכים מדעיים. חלק מידע זה הוא אינטואיטיבי ומתבסס על מגוון ההתנסויות שלהם ועל התיאוריות שהם בונים בגילאי 7-5. הידע האינטואיטיבי (ולעתים המוטעה) הזה נבנה בעזרת תהליכי החשיבה של תלמידים שדומים במהותם לתהליכי חשיבה מדעיים: תלמידים עורכים תצפיות על העולם הסובב אותם, מבחינים בדמיון ובשונות וממיינים עצמים ותופעות, מכלילים מדוגמאות פרטיות ובונים תיאוריות ותחזיות. </w:t>
      </w:r>
    </w:p>
    <w:p w:rsidR="00D57B8B" w:rsidRPr="007D43E3" w:rsidRDefault="00D57B8B" w:rsidP="00386337">
      <w:pPr>
        <w:spacing w:before="240" w:after="120"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כמובן </w:t>
      </w:r>
      <w:r w:rsidRPr="007D43E3">
        <w:rPr>
          <w:rFonts w:ascii="David" w:hAnsi="David" w:cs="David" w:hint="cs"/>
          <w:sz w:val="26"/>
          <w:szCs w:val="26"/>
          <w:rtl/>
          <w:lang w:eastAsia="he-IL"/>
        </w:rPr>
        <w:t>ש</w:t>
      </w:r>
      <w:r w:rsidR="000F4F80" w:rsidRPr="007D43E3">
        <w:rPr>
          <w:rFonts w:ascii="David" w:hAnsi="David" w:cs="David"/>
          <w:sz w:val="26"/>
          <w:szCs w:val="26"/>
          <w:rtl/>
          <w:lang w:eastAsia="he-IL"/>
        </w:rPr>
        <w:t xml:space="preserve">קיימים הבדלים בין תהליכי החשיבה של תלמידים לבין אלה של אנשי המדע. </w:t>
      </w:r>
    </w:p>
    <w:p w:rsidR="00D57B8B" w:rsidRPr="007D43E3" w:rsidRDefault="000F4F80" w:rsidP="00D25380">
      <w:pPr>
        <w:spacing w:after="80"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sz w:val="26"/>
          <w:szCs w:val="26"/>
          <w:rtl/>
          <w:lang w:eastAsia="he-IL"/>
        </w:rPr>
        <w:t>ראשית, תלמידים פועלים בדרך כלל באופן בלתי מודע לתהליכי החשיבה שלהם; הם לומדים תוך כדי משחק והתנסות ספונטנית בחיים. לעומת זאת, פעילות מדעית היא תהליך</w:t>
      </w:r>
      <w:r w:rsidRPr="00EE66C2">
        <w:rPr>
          <w:rFonts w:ascii="David" w:hAnsi="David" w:cs="David"/>
          <w:sz w:val="28"/>
          <w:szCs w:val="28"/>
          <w:rtl/>
          <w:lang w:eastAsia="he-IL"/>
        </w:rPr>
        <w:t xml:space="preserve"> מודע</w:t>
      </w:r>
      <w:r w:rsidR="00D57B8B">
        <w:rPr>
          <w:rFonts w:ascii="David" w:hAnsi="David" w:cs="David" w:hint="cs"/>
          <w:sz w:val="28"/>
          <w:szCs w:val="28"/>
          <w:rtl/>
          <w:lang w:eastAsia="he-IL"/>
        </w:rPr>
        <w:t>,</w:t>
      </w:r>
      <w:r w:rsidRPr="00EE66C2">
        <w:rPr>
          <w:rFonts w:ascii="David" w:hAnsi="David" w:cs="David"/>
          <w:sz w:val="28"/>
          <w:szCs w:val="28"/>
          <w:rtl/>
          <w:lang w:eastAsia="he-IL"/>
        </w:rPr>
        <w:t xml:space="preserve"> הנעשה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מתוך כוונה ברורה</w:t>
      </w:r>
      <w:r w:rsidR="00D57B8B" w:rsidRPr="007D43E3">
        <w:rPr>
          <w:rFonts w:ascii="David" w:hAnsi="David" w:cs="David" w:hint="cs"/>
          <w:sz w:val="26"/>
          <w:szCs w:val="26"/>
          <w:rtl/>
          <w:lang w:eastAsia="he-IL"/>
        </w:rPr>
        <w:t>,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</w:t>
      </w:r>
      <w:r w:rsidR="00D57B8B" w:rsidRPr="007D43E3">
        <w:rPr>
          <w:rFonts w:ascii="David" w:hAnsi="David" w:cs="David" w:hint="cs"/>
          <w:sz w:val="26"/>
          <w:szCs w:val="26"/>
          <w:rtl/>
          <w:lang w:eastAsia="he-IL"/>
        </w:rPr>
        <w:t xml:space="preserve">והוא מתרחש לפי מערכת כללים ברורה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לשם השגת מטרה מוגדרת. </w:t>
      </w:r>
    </w:p>
    <w:p w:rsidR="000F4F80" w:rsidRPr="007D43E3" w:rsidRDefault="000F4F80" w:rsidP="007D43E3">
      <w:pPr>
        <w:spacing w:after="120"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sz w:val="26"/>
          <w:szCs w:val="26"/>
          <w:rtl/>
          <w:lang w:eastAsia="he-IL"/>
        </w:rPr>
        <w:lastRenderedPageBreak/>
        <w:t xml:space="preserve">הבדל נוסף מתבטא באופן החשיבה: תלמידים חושבים ברמה מוחשית, המחייבת התייחסות לתופעות או לעצמים ממשיים שהם </w:t>
      </w:r>
      <w:r w:rsidR="00D57B8B" w:rsidRPr="007D43E3">
        <w:rPr>
          <w:rFonts w:ascii="David" w:hAnsi="David" w:cs="David" w:hint="cs"/>
          <w:sz w:val="26"/>
          <w:szCs w:val="26"/>
          <w:rtl/>
          <w:lang w:eastAsia="he-IL"/>
        </w:rPr>
        <w:t>יכולים לחוש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בקיומם. </w:t>
      </w:r>
      <w:r w:rsidR="00D57B8B" w:rsidRPr="007D43E3">
        <w:rPr>
          <w:rFonts w:ascii="David" w:hAnsi="David" w:cs="David"/>
          <w:sz w:val="26"/>
          <w:szCs w:val="26"/>
          <w:rtl/>
          <w:lang w:eastAsia="he-IL"/>
        </w:rPr>
        <w:t xml:space="preserve">לעומת זאת,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מדענים יכולים לחשוב ברמה מופשטת (פורמלית) מבלי להזדקק להיכרות מוחשית עם מושאי החשיבה שלהם. הידע שתלמידים רוכשים תואם לע</w:t>
      </w:r>
      <w:r w:rsidR="00B05C9D">
        <w:rPr>
          <w:rFonts w:ascii="David" w:hAnsi="David" w:cs="David" w:hint="cs"/>
          <w:sz w:val="26"/>
          <w:szCs w:val="26"/>
          <w:rtl/>
          <w:lang w:eastAsia="he-IL"/>
        </w:rPr>
        <w:t>י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תים בחלקו את הידע המדעי המקובל, אך לע</w:t>
      </w:r>
      <w:r w:rsidR="00B05C9D">
        <w:rPr>
          <w:rFonts w:ascii="David" w:hAnsi="David" w:cs="David" w:hint="cs"/>
          <w:sz w:val="26"/>
          <w:szCs w:val="26"/>
          <w:rtl/>
          <w:lang w:eastAsia="he-IL"/>
        </w:rPr>
        <w:t>י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תים קרובות נוצרות אצלם תפיסות שונות ואף מנוגדות לידע המדע (תפיסות מוטעות). תפיסות אלה הן כה חזקות (</w:t>
      </w:r>
      <w:r w:rsidR="00D25380" w:rsidRPr="007D43E3">
        <w:rPr>
          <w:rFonts w:ascii="David" w:hAnsi="David" w:cs="David"/>
          <w:sz w:val="26"/>
          <w:szCs w:val="26"/>
          <w:vertAlign w:val="superscript"/>
          <w:rtl/>
          <w:lang w:eastAsia="he-IL"/>
        </w:rPr>
        <w:footnoteReference w:id="2"/>
      </w:r>
      <w:r w:rsidRPr="007D43E3">
        <w:rPr>
          <w:rFonts w:ascii="David" w:hAnsi="David" w:cs="David"/>
          <w:sz w:val="26"/>
          <w:szCs w:val="26"/>
          <w:lang w:eastAsia="he-IL"/>
        </w:rPr>
        <w:t>Gardner, 1991</w:t>
      </w:r>
      <w:r w:rsidR="00D25380" w:rsidRPr="007D43E3">
        <w:rPr>
          <w:rFonts w:ascii="David" w:hAnsi="David" w:cs="David"/>
          <w:sz w:val="26"/>
          <w:szCs w:val="26"/>
          <w:lang w:eastAsia="he-IL"/>
        </w:rPr>
        <w:t xml:space="preserve">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), עד כי הן מלוות אותנו גם בחיינו הבוגרים, למרות הלמידה הבית ספרית (</w:t>
      </w:r>
      <w:r w:rsidR="00D25380" w:rsidRPr="007D43E3">
        <w:rPr>
          <w:rFonts w:ascii="David" w:hAnsi="David" w:cs="David"/>
          <w:sz w:val="26"/>
          <w:szCs w:val="26"/>
          <w:vertAlign w:val="superscript"/>
          <w:rtl/>
          <w:lang w:eastAsia="he-IL"/>
        </w:rPr>
        <w:footnoteReference w:id="3"/>
      </w:r>
      <w:r w:rsidRPr="007D43E3">
        <w:rPr>
          <w:rFonts w:ascii="David" w:hAnsi="David" w:cs="David"/>
          <w:sz w:val="26"/>
          <w:szCs w:val="26"/>
          <w:lang w:eastAsia="he-IL"/>
        </w:rPr>
        <w:t>Perkins, 1992</w:t>
      </w:r>
      <w:r w:rsidR="00D25380" w:rsidRPr="007D43E3">
        <w:rPr>
          <w:rFonts w:ascii="David" w:hAnsi="David" w:cs="David"/>
          <w:sz w:val="26"/>
          <w:szCs w:val="26"/>
          <w:lang w:eastAsia="he-IL"/>
        </w:rPr>
        <w:t xml:space="preserve">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). </w:t>
      </w:r>
    </w:p>
    <w:p w:rsidR="00CD7815" w:rsidRPr="007C1BC6" w:rsidRDefault="000F4F80" w:rsidP="007C1BC6">
      <w:pPr>
        <w:spacing w:line="360" w:lineRule="auto"/>
        <w:rPr>
          <w:rFonts w:ascii="David" w:hAnsi="David" w:cs="David"/>
          <w:sz w:val="26"/>
          <w:szCs w:val="26"/>
          <w:rtl/>
          <w:lang w:eastAsia="he-IL"/>
        </w:rPr>
      </w:pP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התפיסות של התלמידים בנוגע לחומרים מתבססות על ההתנסות החושית שלהם. בגיל צעיר מאוד תלמידים נוטים לכלול במונח </w:t>
      </w:r>
      <w:r w:rsidRPr="007D43E3">
        <w:rPr>
          <w:rFonts w:ascii="David" w:hAnsi="David" w:cs="David"/>
          <w:b/>
          <w:bCs/>
          <w:sz w:val="26"/>
          <w:szCs w:val="26"/>
          <w:rtl/>
          <w:lang w:eastAsia="he-IL"/>
        </w:rPr>
        <w:t>חומר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 רק חומרים שאפשר לשנות את צורתם, כגון: חמר או פלסטלינה, שמתוארים בשפת היומיום </w:t>
      </w:r>
      <w:r w:rsidR="00D25380" w:rsidRPr="007D43E3">
        <w:rPr>
          <w:rFonts w:ascii="David" w:hAnsi="David" w:cs="David" w:hint="cs"/>
          <w:sz w:val="26"/>
          <w:szCs w:val="26"/>
          <w:rtl/>
          <w:lang w:eastAsia="he-IL"/>
        </w:rPr>
        <w:t>כ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"חומר". בשלב מאוחר יותר התלמידים כוללים במונח חומר את המוצקים אך לא את הנוזלים, לא את הגזים ולא את החומרים הביולוגיים (</w:t>
      </w:r>
      <w:r w:rsidR="00D25380" w:rsidRPr="007D43E3">
        <w:rPr>
          <w:rFonts w:ascii="David" w:hAnsi="David" w:cs="David" w:hint="cs"/>
          <w:sz w:val="26"/>
          <w:szCs w:val="26"/>
          <w:rtl/>
          <w:lang w:eastAsia="he-IL"/>
        </w:rPr>
        <w:t>הבונים את ה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צמחים ובעלי </w:t>
      </w:r>
      <w:r w:rsidR="00D25380" w:rsidRPr="007D43E3">
        <w:rPr>
          <w:rFonts w:ascii="David" w:hAnsi="David" w:cs="David" w:hint="cs"/>
          <w:sz w:val="26"/>
          <w:szCs w:val="26"/>
          <w:rtl/>
          <w:lang w:eastAsia="he-IL"/>
        </w:rPr>
        <w:t>ה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חיים). במהלך תהליך התפתחותם ועם הרחבת ההתנסויות שלהם, התלמידים משפרים בהדרגה את יכולת המיון שלהם לחומר ול</w:t>
      </w:r>
      <w:r w:rsidR="00D25380" w:rsidRPr="007D43E3">
        <w:rPr>
          <w:rFonts w:ascii="David" w:hAnsi="David" w:cs="David" w:hint="cs"/>
          <w:sz w:val="26"/>
          <w:szCs w:val="26"/>
          <w:rtl/>
          <w:lang w:eastAsia="he-IL"/>
        </w:rPr>
        <w:t xml:space="preserve">מה שאינו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חומר, אך גם כשהמיון שלהם תואם את המיון המדעי, אין הם יודעים להסביר מדוע מיינו כך. תופעה זו עשויה, לדעת </w:t>
      </w:r>
      <w:proofErr w:type="spellStart"/>
      <w:r w:rsidRPr="007D43E3">
        <w:rPr>
          <w:rFonts w:ascii="David" w:hAnsi="David" w:cs="David"/>
          <w:sz w:val="26"/>
          <w:szCs w:val="26"/>
          <w:rtl/>
          <w:lang w:eastAsia="he-IL"/>
        </w:rPr>
        <w:t>סתוי</w:t>
      </w:r>
      <w:proofErr w:type="spellEnd"/>
      <w:r w:rsidRPr="007D43E3">
        <w:rPr>
          <w:rFonts w:ascii="David" w:hAnsi="David" w:cs="David"/>
          <w:sz w:val="26"/>
          <w:szCs w:val="26"/>
          <w:rtl/>
          <w:lang w:eastAsia="he-IL"/>
        </w:rPr>
        <w:t>, להצביע על קיומו של ידע סמוי על חומר, המכוון את פעולת המיון לפני שנרכשת היכולת לבטאו בצורה מפורשת (</w:t>
      </w:r>
      <w:proofErr w:type="spellStart"/>
      <w:r w:rsidRPr="007D43E3">
        <w:rPr>
          <w:rFonts w:ascii="David" w:hAnsi="David" w:cs="David"/>
          <w:sz w:val="26"/>
          <w:szCs w:val="26"/>
          <w:rtl/>
          <w:lang w:eastAsia="he-IL"/>
        </w:rPr>
        <w:t>סתוי</w:t>
      </w:r>
      <w:proofErr w:type="spellEnd"/>
      <w:r w:rsidRPr="007D43E3">
        <w:rPr>
          <w:rFonts w:ascii="David" w:hAnsi="David" w:cs="David"/>
          <w:sz w:val="26"/>
          <w:szCs w:val="26"/>
          <w:rtl/>
          <w:lang w:eastAsia="he-IL"/>
        </w:rPr>
        <w:t>,</w:t>
      </w:r>
      <w:r w:rsidR="00D25380" w:rsidRPr="007D43E3">
        <w:rPr>
          <w:rFonts w:ascii="David" w:hAnsi="David" w:cs="David" w:hint="cs"/>
          <w:sz w:val="26"/>
          <w:szCs w:val="26"/>
          <w:rtl/>
          <w:lang w:eastAsia="he-IL"/>
        </w:rPr>
        <w:t xml:space="preserve"> 1995 </w:t>
      </w:r>
      <w:r w:rsidR="00D25380" w:rsidRPr="007D43E3">
        <w:rPr>
          <w:rFonts w:ascii="David" w:hAnsi="David" w:cs="David"/>
          <w:sz w:val="26"/>
          <w:szCs w:val="26"/>
          <w:vertAlign w:val="superscript"/>
          <w:rtl/>
          <w:lang w:eastAsia="he-IL"/>
        </w:rPr>
        <w:footnoteReference w:id="4"/>
      </w:r>
      <w:r w:rsidR="00D25380" w:rsidRPr="007D43E3">
        <w:rPr>
          <w:rFonts w:ascii="David" w:hAnsi="David" w:cs="David" w:hint="cs"/>
          <w:sz w:val="26"/>
          <w:szCs w:val="26"/>
          <w:rtl/>
          <w:lang w:eastAsia="he-IL"/>
        </w:rPr>
        <w:t>).</w:t>
      </w:r>
      <w:r w:rsidR="00D25380" w:rsidRPr="007D43E3">
        <w:rPr>
          <w:rFonts w:ascii="David" w:hAnsi="David" w:cs="David"/>
          <w:sz w:val="26"/>
          <w:szCs w:val="26"/>
          <w:rtl/>
          <w:lang w:eastAsia="he-IL"/>
        </w:rPr>
        <w:t xml:space="preserve">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רק בכיתה ז חלק מהתלמידים מתחילים לייחס לחומר את התכונות של משקל או של נפח, כתכונות שמגדירות אותו. גם בנוגע למושג גז לתלמידים יש תפיסות אינטואיטיביות מוטעות. כשתלמידים בכיתה ד נשאלים מהו גז,</w:t>
      </w:r>
      <w:r w:rsidR="007D43E3" w:rsidRPr="007D43E3">
        <w:rPr>
          <w:rFonts w:ascii="David" w:hAnsi="David" w:cs="David" w:hint="cs"/>
          <w:sz w:val="26"/>
          <w:szCs w:val="26"/>
          <w:rtl/>
          <w:lang w:eastAsia="he-IL"/>
        </w:rPr>
        <w:t xml:space="preserve"> </w:t>
      </w:r>
      <w:r w:rsidRPr="007D43E3">
        <w:rPr>
          <w:rFonts w:ascii="David" w:hAnsi="David" w:cs="David"/>
          <w:sz w:val="26"/>
          <w:szCs w:val="26"/>
          <w:rtl/>
          <w:lang w:eastAsia="he-IL"/>
        </w:rPr>
        <w:t>הם עונים בעזרת דוגמאות: "גז זה גז בישול", "גז יש במשקאות תוססים", "אוויר זה גז". רק לקראת גיל חטיבת הביניים, בעקבות התנסויות שונות ולמידה, התלמידים מתארים את הגז על ידי שימוש בתכונות המשותפות לכל הגזים (</w:t>
      </w:r>
      <w:proofErr w:type="spellStart"/>
      <w:r w:rsidRPr="007D43E3">
        <w:rPr>
          <w:rFonts w:ascii="David" w:hAnsi="David" w:cs="David"/>
          <w:sz w:val="26"/>
          <w:szCs w:val="26"/>
          <w:rtl/>
          <w:lang w:eastAsia="he-IL"/>
        </w:rPr>
        <w:t>סתוי</w:t>
      </w:r>
      <w:proofErr w:type="spellEnd"/>
      <w:r w:rsidRPr="007D43E3">
        <w:rPr>
          <w:rFonts w:ascii="David" w:hAnsi="David" w:cs="David"/>
          <w:sz w:val="26"/>
          <w:szCs w:val="26"/>
          <w:rtl/>
          <w:lang w:eastAsia="he-IL"/>
        </w:rPr>
        <w:t xml:space="preserve">, 1995). </w:t>
      </w:r>
    </w:p>
    <w:sectPr w:rsidR="00CD7815" w:rsidRPr="007C1BC6" w:rsidSect="00386337">
      <w:headerReference w:type="default" r:id="rId9"/>
      <w:footerReference w:type="default" r:id="rId10"/>
      <w:pgSz w:w="11906" w:h="16838"/>
      <w:pgMar w:top="2364" w:right="1287" w:bottom="1797" w:left="1440" w:header="35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BF" w:rsidRDefault="00B137BF">
      <w:r>
        <w:separator/>
      </w:r>
    </w:p>
  </w:endnote>
  <w:endnote w:type="continuationSeparator" w:id="0">
    <w:p w:rsidR="00B137BF" w:rsidRDefault="00B1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 w:rsidP="007C1BC6">
    <w:pPr>
      <w:pStyle w:val="a4"/>
      <w:bidi w:val="0"/>
      <w:jc w:val="right"/>
    </w:pPr>
    <w:r>
      <w:rPr>
        <w:noProof/>
      </w:rPr>
      <w:drawing>
        <wp:inline distT="0" distB="0" distL="0" distR="0" wp14:anchorId="1D45F478">
          <wp:extent cx="1266825" cy="600075"/>
          <wp:effectExtent l="0" t="0" r="9525" b="9525"/>
          <wp:docPr id="16" name="תמונה 16" descr="הוצאת רמות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C1BC6">
      <w:rPr>
        <w:rtl/>
      </w:rPr>
      <w:tab/>
    </w:r>
    <w:r w:rsidR="007C1BC6">
      <w:rPr>
        <w:rtl/>
      </w:rPr>
      <w:tab/>
    </w:r>
    <w:r w:rsidR="007C1BC6">
      <w:rPr>
        <w:rtl/>
      </w:rPr>
      <w:tab/>
    </w:r>
    <w:r w:rsidR="009514E5">
      <w:rPr>
        <w:rtl/>
      </w:rPr>
      <w:fldChar w:fldCharType="begin"/>
    </w:r>
    <w:r w:rsidR="009514E5">
      <w:instrText>PAGE   \* MERGEFORMAT</w:instrText>
    </w:r>
    <w:r w:rsidR="009514E5">
      <w:rPr>
        <w:rtl/>
      </w:rPr>
      <w:fldChar w:fldCharType="separate"/>
    </w:r>
    <w:r w:rsidR="00D36A03" w:rsidRPr="00D36A03">
      <w:rPr>
        <w:noProof/>
        <w:lang w:val="he-IL"/>
      </w:rPr>
      <w:t>1</w:t>
    </w:r>
    <w:r w:rsidR="009514E5">
      <w:rPr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BF" w:rsidRDefault="00B137BF">
      <w:r>
        <w:separator/>
      </w:r>
    </w:p>
  </w:footnote>
  <w:footnote w:type="continuationSeparator" w:id="0">
    <w:p w:rsidR="00B137BF" w:rsidRDefault="00B137BF">
      <w:r>
        <w:continuationSeparator/>
      </w:r>
    </w:p>
  </w:footnote>
  <w:footnote w:id="1">
    <w:p w:rsidR="000F4F80" w:rsidRPr="007D43E3" w:rsidRDefault="00D57B8B" w:rsidP="005271A0">
      <w:pPr>
        <w:pStyle w:val="af2"/>
        <w:spacing w:line="320" w:lineRule="exact"/>
        <w:ind w:left="227" w:hanging="227"/>
        <w:rPr>
          <w:rFonts w:ascii="David" w:hAnsi="David" w:cs="David"/>
          <w:sz w:val="22"/>
          <w:szCs w:val="22"/>
          <w:rtl/>
        </w:rPr>
      </w:pPr>
      <w:r w:rsidRPr="007D43E3">
        <w:rPr>
          <w:rStyle w:val="af4"/>
          <w:rFonts w:ascii="David" w:hAnsi="David" w:cs="David" w:hint="cs"/>
          <w:b/>
          <w:bCs/>
          <w:sz w:val="22"/>
          <w:szCs w:val="22"/>
          <w:rtl/>
        </w:rPr>
        <w:t>1</w:t>
      </w:r>
      <w:r w:rsidR="000F4F80" w:rsidRPr="007D43E3">
        <w:rPr>
          <w:rFonts w:ascii="David" w:hAnsi="David" w:cs="David" w:hint="cs"/>
          <w:b/>
          <w:bCs/>
          <w:sz w:val="22"/>
          <w:szCs w:val="22"/>
          <w:rtl/>
        </w:rPr>
        <w:t xml:space="preserve"> </w:t>
      </w:r>
      <w:r w:rsidR="000F4F80" w:rsidRPr="007D43E3">
        <w:rPr>
          <w:rFonts w:ascii="David" w:hAnsi="David" w:cs="David"/>
          <w:sz w:val="22"/>
          <w:szCs w:val="22"/>
          <w:rtl/>
        </w:rPr>
        <w:t>הרקע המדעי לקוח מתוך: המדריך למורה של יחידת הלימוד "ממלכת חומר", תכנית מבט, אוניברסיטת תל-אביב, הוצאת רמות.</w:t>
      </w:r>
    </w:p>
  </w:footnote>
  <w:footnote w:id="2">
    <w:p w:rsidR="007D43E3" w:rsidRPr="007D43E3" w:rsidRDefault="00D25380" w:rsidP="005271A0">
      <w:pPr>
        <w:bidi w:val="0"/>
        <w:spacing w:line="320" w:lineRule="exact"/>
        <w:ind w:left="227" w:hanging="227"/>
        <w:jc w:val="both"/>
        <w:rPr>
          <w:rFonts w:ascii="David" w:hAnsi="David" w:cs="David"/>
          <w:sz w:val="22"/>
          <w:szCs w:val="22"/>
        </w:rPr>
      </w:pPr>
      <w:r w:rsidRPr="007D43E3">
        <w:rPr>
          <w:rStyle w:val="af4"/>
          <w:rFonts w:ascii="David" w:hAnsi="David" w:cs="David"/>
          <w:b/>
          <w:bCs/>
          <w:sz w:val="22"/>
          <w:szCs w:val="22"/>
        </w:rPr>
        <w:footnoteRef/>
      </w:r>
      <w:r w:rsidRPr="007D43E3">
        <w:rPr>
          <w:rFonts w:ascii="David" w:hAnsi="David" w:cs="David"/>
          <w:sz w:val="22"/>
          <w:szCs w:val="22"/>
          <w:rtl/>
        </w:rPr>
        <w:t xml:space="preserve"> </w:t>
      </w:r>
      <w:r w:rsidRPr="007D43E3">
        <w:rPr>
          <w:rFonts w:ascii="David" w:hAnsi="David" w:cs="David"/>
          <w:sz w:val="22"/>
          <w:szCs w:val="22"/>
        </w:rPr>
        <w:t xml:space="preserve">Gardner, H., </w:t>
      </w:r>
      <w:r w:rsidRPr="007D43E3">
        <w:rPr>
          <w:rFonts w:ascii="David" w:hAnsi="David" w:cs="David"/>
          <w:b/>
          <w:bCs/>
          <w:sz w:val="22"/>
          <w:szCs w:val="22"/>
        </w:rPr>
        <w:t>The Unschooled Mind: How Children Think and How Schools Should Teach</w:t>
      </w:r>
      <w:r w:rsidRPr="007D43E3">
        <w:rPr>
          <w:rFonts w:ascii="David" w:hAnsi="David" w:cs="David"/>
          <w:sz w:val="22"/>
          <w:szCs w:val="22"/>
        </w:rPr>
        <w:t xml:space="preserve">, </w:t>
      </w:r>
      <w:proofErr w:type="spellStart"/>
      <w:r w:rsidRPr="007D43E3">
        <w:rPr>
          <w:rFonts w:ascii="David" w:hAnsi="David" w:cs="David"/>
          <w:sz w:val="22"/>
          <w:szCs w:val="22"/>
        </w:rPr>
        <w:t>BasicBook</w:t>
      </w:r>
      <w:proofErr w:type="spellEnd"/>
      <w:r w:rsidRPr="007D43E3">
        <w:rPr>
          <w:rFonts w:ascii="David" w:hAnsi="David" w:cs="David"/>
          <w:sz w:val="22"/>
          <w:szCs w:val="22"/>
        </w:rPr>
        <w:t>, 1991</w:t>
      </w:r>
      <w:r w:rsidR="007D43E3" w:rsidRPr="007D43E3">
        <w:rPr>
          <w:rFonts w:ascii="David" w:hAnsi="David" w:cs="David"/>
          <w:sz w:val="22"/>
          <w:szCs w:val="22"/>
        </w:rPr>
        <w:t xml:space="preserve">. </w:t>
      </w:r>
    </w:p>
    <w:p w:rsidR="00D25380" w:rsidRPr="00B92BBF" w:rsidRDefault="00D25380" w:rsidP="00B92BBF">
      <w:pPr>
        <w:tabs>
          <w:tab w:val="left" w:pos="1265"/>
        </w:tabs>
        <w:bidi w:val="0"/>
        <w:ind w:left="227" w:hanging="227"/>
        <w:jc w:val="both"/>
        <w:rPr>
          <w:rFonts w:ascii="David" w:hAnsi="David" w:cs="David"/>
          <w:sz w:val="12"/>
          <w:szCs w:val="12"/>
          <w:rtl/>
        </w:rPr>
      </w:pPr>
      <w:r w:rsidRPr="007D43E3">
        <w:rPr>
          <w:rFonts w:ascii="David" w:hAnsi="David" w:cs="David"/>
          <w:sz w:val="22"/>
          <w:szCs w:val="22"/>
        </w:rPr>
        <w:t xml:space="preserve"> </w:t>
      </w:r>
      <w:r w:rsidR="007D43E3" w:rsidRPr="00B92BBF">
        <w:rPr>
          <w:rFonts w:ascii="David" w:hAnsi="David" w:cs="David"/>
          <w:sz w:val="12"/>
          <w:szCs w:val="12"/>
        </w:rPr>
        <w:tab/>
      </w:r>
    </w:p>
  </w:footnote>
  <w:footnote w:id="3">
    <w:p w:rsidR="00D25380" w:rsidRDefault="00D25380" w:rsidP="005271A0">
      <w:pPr>
        <w:bidi w:val="0"/>
        <w:spacing w:line="320" w:lineRule="exact"/>
        <w:ind w:left="227" w:hanging="227"/>
        <w:jc w:val="both"/>
        <w:rPr>
          <w:rFonts w:ascii="David" w:hAnsi="David" w:cs="David"/>
          <w:sz w:val="22"/>
          <w:szCs w:val="22"/>
        </w:rPr>
      </w:pPr>
      <w:r w:rsidRPr="007D43E3">
        <w:rPr>
          <w:rStyle w:val="af4"/>
          <w:rFonts w:ascii="David" w:hAnsi="David" w:cs="David"/>
          <w:b/>
          <w:bCs/>
          <w:sz w:val="22"/>
          <w:szCs w:val="22"/>
        </w:rPr>
        <w:footnoteRef/>
      </w:r>
      <w:r w:rsidRPr="007D43E3">
        <w:rPr>
          <w:rFonts w:ascii="David" w:hAnsi="David" w:cs="David"/>
          <w:sz w:val="22"/>
          <w:szCs w:val="22"/>
          <w:rtl/>
        </w:rPr>
        <w:t xml:space="preserve"> </w:t>
      </w:r>
      <w:r w:rsidRPr="007D43E3">
        <w:rPr>
          <w:rFonts w:ascii="David" w:hAnsi="David" w:cs="David"/>
          <w:sz w:val="22"/>
          <w:szCs w:val="22"/>
        </w:rPr>
        <w:t xml:space="preserve">Perkins, D., </w:t>
      </w:r>
      <w:r w:rsidRPr="007D43E3">
        <w:rPr>
          <w:rFonts w:ascii="David" w:hAnsi="David" w:cs="David"/>
          <w:b/>
          <w:bCs/>
          <w:sz w:val="22"/>
          <w:szCs w:val="22"/>
        </w:rPr>
        <w:t>Smart Schools: Better Thinking and Learning for Every Child</w:t>
      </w:r>
      <w:r w:rsidRPr="007D43E3">
        <w:rPr>
          <w:rFonts w:ascii="David" w:hAnsi="David" w:cs="David"/>
          <w:sz w:val="22"/>
          <w:szCs w:val="22"/>
        </w:rPr>
        <w:t>, The Free Press, 1992.</w:t>
      </w:r>
    </w:p>
    <w:p w:rsidR="007D43E3" w:rsidRPr="00B92BBF" w:rsidRDefault="00B92BBF" w:rsidP="00B92BBF">
      <w:pPr>
        <w:tabs>
          <w:tab w:val="left" w:pos="8202"/>
        </w:tabs>
        <w:bidi w:val="0"/>
        <w:ind w:left="227" w:hanging="227"/>
        <w:jc w:val="both"/>
        <w:rPr>
          <w:rFonts w:ascii="David" w:hAnsi="David" w:cs="David"/>
          <w:sz w:val="12"/>
          <w:szCs w:val="12"/>
          <w:rtl/>
        </w:rPr>
      </w:pPr>
      <w:r w:rsidRPr="00B92BBF">
        <w:rPr>
          <w:rFonts w:ascii="David" w:hAnsi="David" w:cs="David"/>
          <w:sz w:val="12"/>
          <w:szCs w:val="12"/>
        </w:rPr>
        <w:tab/>
      </w:r>
      <w:r w:rsidRPr="00B92BBF">
        <w:rPr>
          <w:rFonts w:ascii="David" w:hAnsi="David" w:cs="David"/>
          <w:sz w:val="12"/>
          <w:szCs w:val="12"/>
        </w:rPr>
        <w:tab/>
      </w:r>
    </w:p>
  </w:footnote>
  <w:footnote w:id="4">
    <w:p w:rsidR="00D25380" w:rsidRPr="007D43E3" w:rsidRDefault="00D25380" w:rsidP="005271A0">
      <w:pPr>
        <w:pStyle w:val="af2"/>
        <w:spacing w:line="320" w:lineRule="exact"/>
        <w:ind w:left="227" w:hanging="227"/>
        <w:rPr>
          <w:rFonts w:ascii="David" w:hAnsi="David" w:cs="David"/>
          <w:sz w:val="22"/>
          <w:szCs w:val="22"/>
        </w:rPr>
      </w:pPr>
      <w:r w:rsidRPr="007D43E3">
        <w:rPr>
          <w:rStyle w:val="af4"/>
          <w:rFonts w:ascii="David" w:hAnsi="David" w:cs="David"/>
          <w:b/>
          <w:bCs/>
          <w:sz w:val="22"/>
          <w:szCs w:val="22"/>
        </w:rPr>
        <w:footnoteRef/>
      </w:r>
      <w:r w:rsidRPr="007D43E3">
        <w:rPr>
          <w:rFonts w:ascii="David" w:hAnsi="David" w:cs="David"/>
          <w:b/>
          <w:bCs/>
          <w:sz w:val="22"/>
          <w:szCs w:val="22"/>
          <w:rtl/>
        </w:rPr>
        <w:t xml:space="preserve"> </w:t>
      </w:r>
      <w:proofErr w:type="spellStart"/>
      <w:r w:rsidRPr="007D43E3">
        <w:rPr>
          <w:rFonts w:ascii="David" w:hAnsi="David" w:cs="David"/>
          <w:sz w:val="22"/>
          <w:szCs w:val="22"/>
          <w:rtl/>
        </w:rPr>
        <w:t>סתוי</w:t>
      </w:r>
      <w:proofErr w:type="spellEnd"/>
      <w:r w:rsidRPr="007D43E3">
        <w:rPr>
          <w:rFonts w:ascii="David" w:hAnsi="David" w:cs="David"/>
          <w:sz w:val="22"/>
          <w:szCs w:val="22"/>
          <w:rtl/>
        </w:rPr>
        <w:t xml:space="preserve">, ר', 1995. "מחקר קוגניטיבי בהוראת המדעים </w:t>
      </w:r>
      <w:proofErr w:type="spellStart"/>
      <w:r w:rsidRPr="007D43E3">
        <w:rPr>
          <w:rFonts w:ascii="David" w:hAnsi="David" w:cs="David"/>
          <w:sz w:val="22"/>
          <w:szCs w:val="22"/>
          <w:rtl/>
        </w:rPr>
        <w:t>והשתמעויותיו</w:t>
      </w:r>
      <w:proofErr w:type="spellEnd"/>
      <w:r w:rsidRPr="007D43E3">
        <w:rPr>
          <w:rFonts w:ascii="David" w:hAnsi="David" w:cs="David"/>
          <w:sz w:val="22"/>
          <w:szCs w:val="22"/>
          <w:rtl/>
        </w:rPr>
        <w:t xml:space="preserve"> להוראת רעיונות בסיסיים במדעי החומר". בתוך: החינוך לקראת המאה ה-21. עורך: פרופ' דוד חן, אוניברסיטת תל-אביב, הוצאת רמות, רמת-אביב.</w:t>
      </w:r>
    </w:p>
    <w:p w:rsidR="00D25380" w:rsidRPr="007D43E3" w:rsidRDefault="00D25380" w:rsidP="00D25380">
      <w:pPr>
        <w:pStyle w:val="af2"/>
        <w:rPr>
          <w:rFonts w:ascii="David" w:hAnsi="David" w:cs="David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79150B" w:rsidP="0079150B">
    <w:pPr>
      <w:pStyle w:val="a3"/>
      <w:rPr>
        <w:rtl/>
      </w:rPr>
    </w:pPr>
    <w:r>
      <w:rPr>
        <w:noProof/>
      </w:rPr>
      <w:drawing>
        <wp:inline distT="0" distB="0" distL="0" distR="0">
          <wp:extent cx="5820410" cy="954405"/>
          <wp:effectExtent l="0" t="0" r="8890" b="0"/>
          <wp:docPr id="15" name="תמונה 15" descr="במבט חדש, אוניברסיטת תל אביב" title="פס עליון -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3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D91BF2"/>
    <w:multiLevelType w:val="hybridMultilevel"/>
    <w:tmpl w:val="84C03F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6156F"/>
    <w:rsid w:val="00076FB7"/>
    <w:rsid w:val="000A195A"/>
    <w:rsid w:val="000F4F80"/>
    <w:rsid w:val="000F5A70"/>
    <w:rsid w:val="001017C5"/>
    <w:rsid w:val="00127B51"/>
    <w:rsid w:val="0013248D"/>
    <w:rsid w:val="00150B5F"/>
    <w:rsid w:val="0015411F"/>
    <w:rsid w:val="00155E6C"/>
    <w:rsid w:val="00160EE5"/>
    <w:rsid w:val="00181B35"/>
    <w:rsid w:val="00195EC0"/>
    <w:rsid w:val="001D48B8"/>
    <w:rsid w:val="001E1D67"/>
    <w:rsid w:val="001E3F41"/>
    <w:rsid w:val="001F2436"/>
    <w:rsid w:val="002452C7"/>
    <w:rsid w:val="00245A38"/>
    <w:rsid w:val="002B468B"/>
    <w:rsid w:val="002C1483"/>
    <w:rsid w:val="002D6938"/>
    <w:rsid w:val="002E1FFB"/>
    <w:rsid w:val="002F10BC"/>
    <w:rsid w:val="00325EF3"/>
    <w:rsid w:val="00344B0E"/>
    <w:rsid w:val="003653CF"/>
    <w:rsid w:val="00386337"/>
    <w:rsid w:val="00392EB3"/>
    <w:rsid w:val="00393849"/>
    <w:rsid w:val="003973C8"/>
    <w:rsid w:val="003E70E8"/>
    <w:rsid w:val="004055A8"/>
    <w:rsid w:val="004455AC"/>
    <w:rsid w:val="00472882"/>
    <w:rsid w:val="00474CF5"/>
    <w:rsid w:val="00493EFC"/>
    <w:rsid w:val="00494E2F"/>
    <w:rsid w:val="004E244E"/>
    <w:rsid w:val="005271A0"/>
    <w:rsid w:val="00556DA0"/>
    <w:rsid w:val="00557966"/>
    <w:rsid w:val="005762E5"/>
    <w:rsid w:val="005831D7"/>
    <w:rsid w:val="005D69AA"/>
    <w:rsid w:val="005D7E54"/>
    <w:rsid w:val="005F3078"/>
    <w:rsid w:val="005F6126"/>
    <w:rsid w:val="00601BF9"/>
    <w:rsid w:val="0063283A"/>
    <w:rsid w:val="00651533"/>
    <w:rsid w:val="00671F8B"/>
    <w:rsid w:val="00674150"/>
    <w:rsid w:val="0069424D"/>
    <w:rsid w:val="006A2CB4"/>
    <w:rsid w:val="006A55FA"/>
    <w:rsid w:val="006B5BCA"/>
    <w:rsid w:val="006E232E"/>
    <w:rsid w:val="0071638B"/>
    <w:rsid w:val="00740179"/>
    <w:rsid w:val="00765CB0"/>
    <w:rsid w:val="0079150B"/>
    <w:rsid w:val="0079543F"/>
    <w:rsid w:val="007A4569"/>
    <w:rsid w:val="007A579D"/>
    <w:rsid w:val="007C1BC6"/>
    <w:rsid w:val="007D43E3"/>
    <w:rsid w:val="007E06DD"/>
    <w:rsid w:val="00800D75"/>
    <w:rsid w:val="00812A27"/>
    <w:rsid w:val="008363B7"/>
    <w:rsid w:val="00841C3C"/>
    <w:rsid w:val="008513E7"/>
    <w:rsid w:val="008901CC"/>
    <w:rsid w:val="008C60C7"/>
    <w:rsid w:val="008F79BD"/>
    <w:rsid w:val="00904BE3"/>
    <w:rsid w:val="00925F88"/>
    <w:rsid w:val="00944B38"/>
    <w:rsid w:val="009514E5"/>
    <w:rsid w:val="00953D37"/>
    <w:rsid w:val="009541A2"/>
    <w:rsid w:val="00964433"/>
    <w:rsid w:val="009678D6"/>
    <w:rsid w:val="009909D0"/>
    <w:rsid w:val="009947C3"/>
    <w:rsid w:val="0099745E"/>
    <w:rsid w:val="009D20F3"/>
    <w:rsid w:val="00A05770"/>
    <w:rsid w:val="00A22FB2"/>
    <w:rsid w:val="00A24751"/>
    <w:rsid w:val="00A26608"/>
    <w:rsid w:val="00A37699"/>
    <w:rsid w:val="00A449B6"/>
    <w:rsid w:val="00A50839"/>
    <w:rsid w:val="00A605BC"/>
    <w:rsid w:val="00A628BC"/>
    <w:rsid w:val="00A71498"/>
    <w:rsid w:val="00A8038A"/>
    <w:rsid w:val="00A8138E"/>
    <w:rsid w:val="00A86662"/>
    <w:rsid w:val="00A87416"/>
    <w:rsid w:val="00AD2FC9"/>
    <w:rsid w:val="00AD446A"/>
    <w:rsid w:val="00AD7F33"/>
    <w:rsid w:val="00AF3877"/>
    <w:rsid w:val="00B01CA4"/>
    <w:rsid w:val="00B05C9D"/>
    <w:rsid w:val="00B137BF"/>
    <w:rsid w:val="00B2038D"/>
    <w:rsid w:val="00B333AE"/>
    <w:rsid w:val="00B85F1F"/>
    <w:rsid w:val="00B8787C"/>
    <w:rsid w:val="00B87D6F"/>
    <w:rsid w:val="00B90529"/>
    <w:rsid w:val="00B90BE9"/>
    <w:rsid w:val="00B92BBF"/>
    <w:rsid w:val="00BA7174"/>
    <w:rsid w:val="00BD1014"/>
    <w:rsid w:val="00BD7A9C"/>
    <w:rsid w:val="00BE1501"/>
    <w:rsid w:val="00BE5709"/>
    <w:rsid w:val="00BE5D26"/>
    <w:rsid w:val="00C2437E"/>
    <w:rsid w:val="00C75AA3"/>
    <w:rsid w:val="00C95693"/>
    <w:rsid w:val="00CA496F"/>
    <w:rsid w:val="00CA4CA5"/>
    <w:rsid w:val="00CD7815"/>
    <w:rsid w:val="00CE1410"/>
    <w:rsid w:val="00CF32F4"/>
    <w:rsid w:val="00D06E80"/>
    <w:rsid w:val="00D17CA5"/>
    <w:rsid w:val="00D25380"/>
    <w:rsid w:val="00D36A03"/>
    <w:rsid w:val="00D37AEE"/>
    <w:rsid w:val="00D4108D"/>
    <w:rsid w:val="00D42BE0"/>
    <w:rsid w:val="00D45275"/>
    <w:rsid w:val="00D57B8B"/>
    <w:rsid w:val="00D7176A"/>
    <w:rsid w:val="00D872AF"/>
    <w:rsid w:val="00D9079E"/>
    <w:rsid w:val="00D92615"/>
    <w:rsid w:val="00DD02FE"/>
    <w:rsid w:val="00DD04C5"/>
    <w:rsid w:val="00DD7A62"/>
    <w:rsid w:val="00DD7B53"/>
    <w:rsid w:val="00E00471"/>
    <w:rsid w:val="00E02CEC"/>
    <w:rsid w:val="00E119E9"/>
    <w:rsid w:val="00E152B8"/>
    <w:rsid w:val="00E16154"/>
    <w:rsid w:val="00E216CA"/>
    <w:rsid w:val="00E35141"/>
    <w:rsid w:val="00E6429E"/>
    <w:rsid w:val="00E748E0"/>
    <w:rsid w:val="00E86B9B"/>
    <w:rsid w:val="00ED04CE"/>
    <w:rsid w:val="00ED4088"/>
    <w:rsid w:val="00ED66A7"/>
    <w:rsid w:val="00EE2A44"/>
    <w:rsid w:val="00EE6052"/>
    <w:rsid w:val="00EF14B8"/>
    <w:rsid w:val="00F0329A"/>
    <w:rsid w:val="00F20CA7"/>
    <w:rsid w:val="00F30A6F"/>
    <w:rsid w:val="00F61703"/>
    <w:rsid w:val="00F87B2D"/>
    <w:rsid w:val="00F91ED5"/>
    <w:rsid w:val="00FE12C1"/>
    <w:rsid w:val="00FE637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paragraph" w:styleId="af5">
    <w:name w:val="Revision"/>
    <w:hidden/>
    <w:uiPriority w:val="99"/>
    <w:semiHidden/>
    <w:rsid w:val="00D2538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paragraph" w:styleId="af5">
    <w:name w:val="Revision"/>
    <w:hidden/>
    <w:uiPriority w:val="99"/>
    <w:semiHidden/>
    <w:rsid w:val="00D2538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F07-5B38-4911-9A0C-2336AF31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583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3496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Rafi</cp:lastModifiedBy>
  <cp:revision>2</cp:revision>
  <cp:lastPrinted>2016-01-19T09:20:00Z</cp:lastPrinted>
  <dcterms:created xsi:type="dcterms:W3CDTF">2020-06-24T07:43:00Z</dcterms:created>
  <dcterms:modified xsi:type="dcterms:W3CDTF">2020-06-24T07:43:00Z</dcterms:modified>
</cp:coreProperties>
</file>